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letters-and-scripts"/>
    <w:p>
      <w:pPr>
        <w:pStyle w:val="Heading1"/>
        <w:pageBreakBefore w:val="0"/>
      </w:pPr>
      <w:r>
        <w:t xml:space="preserve">Letters and scripts</w:t>
      </w:r>
    </w:p>
    <w:p>
      <w:pPr>
        <w:pStyle w:val="FirstParagraph"/>
      </w:pPr>
      <w:r>
        <w:t xml:space="preserve">Each expression appears at normal size, in a superscript and in a nested superscript.</w:t>
      </w:r>
    </w:p>
    <w:bookmarkStart w:id="20" w:name="latin-letters-and-digits"/>
    <w:p>
      <w:pPr>
        <w:pStyle w:val="Heading2"/>
      </w:pPr>
      <w:r>
        <w:t xml:space="preserve">01 Latin letters and digits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A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B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C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…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X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Y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Z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a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b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c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…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x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y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z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0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1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2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…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9</m:t>
          </m:r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B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C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…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Z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  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b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c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…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z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  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0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1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…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9</m:t>
              </m:r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…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Z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  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…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z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  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0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…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9</m:t>
                  </m:r>
                </m:sup>
              </m:sSup>
            </m:sup>
          </m:sSup>
        </m:oMath>
      </m:oMathPara>
    </w:p>
    <w:bookmarkEnd w:id="20"/>
    <w:bookmarkStart w:id="21" w:name="greek-letters"/>
    <w:p>
      <w:pPr>
        <w:pStyle w:val="Heading2"/>
      </w:pPr>
      <w:r>
        <w:t xml:space="preserve">02 Greek letters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Γ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Δ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Θ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Λ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Ξ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Π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Σ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Φ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Ψ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Ω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α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β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γ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δ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ε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θ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φ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,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ω</m:t>
          </m:r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Γ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Δ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Θ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Λ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Ξ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Π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Σ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Φ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Ψ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Ω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  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α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β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γ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δ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ε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θ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φ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ω</m:t>
              </m:r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Θ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Λ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Ξ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Π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Σ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Ψ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Ω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  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γ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δ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ε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θ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φ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,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ω</m:t>
                  </m:r>
                </m:sup>
              </m:sSup>
            </m:sup>
          </m:sSup>
        </m:oMath>
      </m:oMathPara>
    </w:p>
    <w:bookmarkEnd w:id="21"/>
    <w:bookmarkStart w:id="22" w:name="cardinals-and-relations"/>
    <w:p>
      <w:pPr>
        <w:pStyle w:val="Heading2"/>
      </w:pPr>
      <w:r>
        <w:t xml:space="preserve">03 Cardinals and relations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ℵ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α</m:t>
              </m:r>
            </m:sub>
          </m:sSub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×</m:t>
          </m:r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ℵ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β</m:t>
              </m:r>
            </m:sub>
          </m:sSub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ℵ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β</m:t>
              </m:r>
            </m:sub>
          </m:sSub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⇔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α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≤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β</m:t>
          </m:r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b>
                <m:sSub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ℵ</m:t>
                  </m:r>
                </m:e>
                <m:sub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×</m:t>
              </m:r>
              <m:sSub>
                <m:sSub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ℵ</m:t>
                  </m:r>
                </m:e>
                <m:sub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ℵ</m:t>
                  </m:r>
                </m:e>
                <m:sub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β</m:t>
                  </m:r>
                </m:sub>
              </m:s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 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⇔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 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α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≤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β</m:t>
              </m:r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ℵ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α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×</m:t>
                  </m:r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ℵ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β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=</m:t>
                  </m:r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ℵ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β</m:t>
                      </m:r>
                    </m:sub>
                  </m:sSub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 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⇔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 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≤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β</m:t>
                  </m:r>
                </m:sup>
              </m:sSup>
            </m:sup>
          </m:sSup>
        </m:oMath>
      </m:oMathPara>
    </w:p>
    <w:bookmarkEnd w:id="22"/>
    <w:bookmarkStart w:id="23" w:name="limits-and-implications"/>
    <w:p>
      <w:pPr>
        <w:pStyle w:val="Heading2"/>
      </w:pPr>
      <w:r>
        <w:t xml:space="preserve">04 Limits and implications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d>
            <m:dPr>
              <m:begChr m:val="|"/>
              <m:endChr m:val="|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−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</m:e>
          </m:d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&lt;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δ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⇒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d>
            <m:dPr>
              <m:begChr m:val="|"/>
              <m:endChr m:val="|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  <m:d>
                <m:dPr>
                  <m:begChr m:val="("/>
                  <m:endChr m:val=")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−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L</m:t>
              </m:r>
            </m:e>
          </m:d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&lt;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ε</m:t>
          </m:r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d>
                <m:dPr>
                  <m:begChr m:val="|"/>
                  <m:endChr m:val="|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−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a</m:t>
                  </m:r>
                </m:e>
              </m:d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&lt;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δ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 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⇒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 </m:t>
              </m:r>
              <m:d>
                <m:dPr>
                  <m:begChr m:val="|"/>
                  <m:endChr m:val="|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f</m:t>
                  </m:r>
                  <m:d>
                    <m:dPr>
                      <m:begChr m:val="("/>
                      <m:endChr m:val=")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−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L</m:t>
                  </m:r>
                </m:e>
              </m:d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&lt;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ε</m:t>
              </m:r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d>
                    <m:dPr>
                      <m:begChr m:val="|"/>
                      <m:endChr m:val="|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−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a</m:t>
                      </m:r>
                    </m:e>
                  </m:d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&lt;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δ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 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⇒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 </m:t>
                  </m:r>
                  <m:d>
                    <m:dPr>
                      <m:begChr m:val="|"/>
                      <m:endChr m:val="|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f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x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−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L</m:t>
                      </m:r>
                    </m:e>
                  </m:d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&lt;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ε</m:t>
                  </m:r>
                </m:sup>
              </m:sSup>
            </m:sup>
          </m:sSup>
        </m:oMath>
      </m:oMathPara>
    </w:p>
    <w:bookmarkEnd w:id="23"/>
    <w:bookmarkStart w:id="24" w:name="sets-and-topology"/>
    <w:p>
      <w:pPr>
        <w:pStyle w:val="Heading2"/>
      </w:pPr>
      <w:r>
        <w:t xml:space="preserve">05 Sets and topology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{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x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∣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x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≠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x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}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∅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d>
                <m:dPr>
                  <m:begChr m:val="("/>
                  <m:endChr m:val=")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∩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∘</m:t>
              </m:r>
            </m:sup>
          </m:sSup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⊆</m:t>
          </m:r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∘</m:t>
              </m:r>
            </m:sup>
          </m:sSup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∩</m:t>
          </m:r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∘</m:t>
              </m:r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{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∣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≠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}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∅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  </m:t>
              </m:r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d>
                    <m:dPr>
                      <m:begChr m:val="("/>
                      <m:endChr m:val=")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A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∩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B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∘</m:t>
                  </m:r>
                </m:sup>
              </m:s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⊆</m:t>
              </m:r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∘</m:t>
                  </m:r>
                </m:sup>
              </m:s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∩</m:t>
              </m:r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∘</m:t>
                  </m:r>
                </m:sup>
              </m:sSup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{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∣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≠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}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∅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  </m:t>
                  </m:r>
                  <m:sSup>
                    <m:sSup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begChr m:val="("/>
                          <m:endChr m:val=")"/>
                          <m:sepChr m:val=""/>
                          <m:grow/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A</m:t>
                          </m:r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∩</m:t>
                          </m:r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B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∘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⊆</m:t>
                  </m:r>
                  <m:sSup>
                    <m:sSup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∘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∩</m:t>
                  </m:r>
                  <m:sSup>
                    <m:sSup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B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∘</m:t>
                      </m:r>
                    </m:sup>
                  </m:sSup>
                </m:sup>
              </m:sSup>
            </m:sup>
          </m:sSup>
        </m:oMath>
      </m:oMathPara>
    </w:p>
    <w:bookmarkEnd w:id="24"/>
    <w:bookmarkStart w:id="25" w:name="tensor-indices"/>
    <w:p>
      <w:pPr>
        <w:pStyle w:val="Heading2"/>
      </w:pPr>
      <w:r>
        <w:t xml:space="preserve">06 Tensor indices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R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i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j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l</m:t>
              </m:r>
            </m:sub>
          </m:sSub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−</m:t>
          </m:r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R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j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i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l</m:t>
              </m:r>
            </m:sub>
          </m:sSub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−</m:t>
          </m:r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R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i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j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l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</m:sub>
          </m:sSub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R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l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i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j</m:t>
              </m:r>
            </m:sub>
          </m:sSub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b>
                <m:sSub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i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j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k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−</m:t>
              </m:r>
              <m:sSub>
                <m:sSub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j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i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k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l</m:t>
                  </m:r>
                </m:sub>
              </m:sSub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−</m:t>
              </m:r>
              <m:sSub>
                <m:sSub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i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j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l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k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l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i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j</m:t>
                  </m:r>
                </m:sub>
              </m:sSub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i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j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k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l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−</m:t>
                  </m:r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j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i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k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l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−</m:t>
                  </m:r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i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j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l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k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=</m:t>
                  </m:r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k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l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i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j</m:t>
                      </m:r>
                    </m:sub>
                  </m:sSub>
                </m:sup>
              </m:sSup>
            </m:sup>
          </m:sSup>
        </m:oMath>
      </m:oMathPara>
    </w:p>
    <w:bookmarkEnd w:id="25"/>
    <w:bookmarkEnd w:id="26"/>
    <w:bookmarkStart w:id="33" w:name="calculus-and-compound-expressions"/>
    <w:p>
      <w:pPr>
        <w:pStyle w:val="Heading1"/>
        <w:pageBreakBefore/>
      </w:pPr>
      <w:r>
        <w:t xml:space="preserve">Calculus and compound expressions</w:t>
      </w:r>
    </w:p>
    <w:p>
      <w:pPr>
        <w:pStyle w:val="FirstParagraph"/>
      </w:pPr>
      <w:r>
        <w:t xml:space="preserve">Each expression appears at normal size, in a superscript and in a nested superscript.</w:t>
      </w:r>
    </w:p>
    <w:bookmarkStart w:id="27" w:name="composition-and-derivatives"/>
    <w:p>
      <w:pPr>
        <w:pStyle w:val="Heading2"/>
      </w:pPr>
      <w:r>
        <w:t xml:space="preserve">07 Composition and derivatives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d>
            <m:dPr>
              <m:begChr m:val="("/>
              <m:endChr m:val=")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∘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g</m:t>
              </m:r>
            </m:e>
          </m:d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′</m:t>
          </m:r>
          <m:d>
            <m:dPr>
              <m:begChr m:val="("/>
              <m:endChr m:val=")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</m:d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′</m:t>
          </m:r>
          <m:d>
            <m:dPr>
              <m:begChr m:val="("/>
              <m:endChr m:val=")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g</m:t>
              </m:r>
              <m:d>
                <m:dPr>
                  <m:begChr m:val="("/>
                  <m:endChr m:val=")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</m:e>
              </m:d>
            </m:e>
          </m:d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 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g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′</m:t>
          </m:r>
          <m:d>
            <m:dPr>
              <m:begChr m:val="("/>
              <m:endChr m:val=")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</m:d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d>
                <m:dPr>
                  <m:begChr m:val="("/>
                  <m:endChr m:val=")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∘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g</m:t>
                  </m:r>
                </m:e>
              </m:d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′</m:t>
              </m:r>
              <m:d>
                <m:dPr>
                  <m:begChr m:val="("/>
                  <m:endChr m:val=")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′</m:t>
              </m:r>
              <m:d>
                <m:dPr>
                  <m:begChr m:val="("/>
                  <m:endChr m:val=")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g</m:t>
                  </m:r>
                  <m:d>
                    <m:dPr>
                      <m:begChr m:val="("/>
                      <m:endChr m:val=")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 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g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′</m:t>
              </m:r>
              <m:d>
                <m:dPr>
                  <m:begChr m:val="("/>
                  <m:endChr m:val=")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</m:e>
              </m:d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d>
                    <m:dPr>
                      <m:begChr m:val="("/>
                      <m:endChr m:val=")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f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∘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g</m:t>
                      </m:r>
                    </m:e>
                  </m:d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′</m:t>
                  </m:r>
                  <m:d>
                    <m:dPr>
                      <m:begChr m:val="("/>
                      <m:endChr m:val=")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=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′</m:t>
                  </m:r>
                  <m:d>
                    <m:dPr>
                      <m:begChr m:val="("/>
                      <m:endChr m:val=")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g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x</m:t>
                          </m:r>
                        </m:e>
                      </m:d>
                    </m:e>
                  </m:d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 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′</m:t>
                  </m:r>
                  <m:d>
                    <m:dPr>
                      <m:begChr m:val="("/>
                      <m:endChr m:val=")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e>
                  </m:d>
                </m:sup>
              </m:sSup>
            </m:sup>
          </m:sSup>
        </m:oMath>
      </m:oMathPara>
    </w:p>
    <w:bookmarkEnd w:id="27"/>
    <w:bookmarkStart w:id="28" w:name="differential-forms"/>
    <w:p>
      <w:pPr>
        <w:pStyle w:val="Heading2"/>
      </w:pPr>
      <w:r>
        <w:t xml:space="preserve">08 Differential forms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d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ω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d>
            <m:dPr>
              <m:begChr m:val="("/>
              <m:endChr m:val=")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f>
                <m:fPr>
                  <m:type m:val="bar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∂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Q</m:t>
                  </m:r>
                </m:num>
                <m:den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∂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−</m:t>
              </m:r>
              <m:f>
                <m:fPr>
                  <m:type m:val="bar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∂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P</m:t>
                  </m:r>
                </m:num>
                <m:den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∂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y</m:t>
                  </m:r>
                </m:den>
              </m:f>
            </m:e>
          </m:d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 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d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x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∧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d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y</m:t>
          </m:r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d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ω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d>
                <m:dPr>
                  <m:begChr m:val="("/>
                  <m:endChr m:val=")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f>
                    <m:fPr>
                      <m:type m:val="bar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∂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Q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∂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−</m:t>
                  </m:r>
                  <m:f>
                    <m:fPr>
                      <m:type m:val="bar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∂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P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∂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y</m:t>
                      </m:r>
                    </m:den>
                  </m:f>
                </m:e>
              </m:d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 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d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∧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d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d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ω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=</m:t>
                  </m:r>
                  <m:d>
                    <m:dPr>
                      <m:begChr m:val="("/>
                      <m:endChr m:val=")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type m:val="bar"/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∂</m:t>
                          </m:r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Q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∂</m:t>
                          </m:r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x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−</m:t>
                      </m:r>
                      <m:f>
                        <m:fPr>
                          <m:type m:val="bar"/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∂</m:t>
                          </m:r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P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∂</m:t>
                          </m:r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y</m:t>
                          </m:r>
                        </m:den>
                      </m:f>
                    </m:e>
                  </m:d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 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d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∧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d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y</m:t>
                  </m:r>
                </m:sup>
              </m:sSup>
            </m:sup>
          </m:sSup>
        </m:oMath>
      </m:oMathPara>
    </w:p>
    <w:bookmarkEnd w:id="28"/>
    <w:bookmarkStart w:id="29" w:name="vector-fields"/>
    <w:p>
      <w:pPr>
        <w:pStyle w:val="Heading2"/>
      </w:pPr>
      <w:r>
        <w:t xml:space="preserve">09 Vector fields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X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nary>
            <m:naryPr>
              <m:chr m:val="∑"/>
              <m:limLoc m:val="undOvr"/>
              <m:subHide m:val="off"/>
              <m:supHide m:val="on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naryPr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i</m:t>
              </m:r>
            </m:sub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​</m:t>
              </m:r>
            </m:sup>
            <m:e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ξ</m:t>
                  </m:r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i</m:t>
                  </m:r>
                </m:sup>
              </m:sSup>
            </m:e>
          </m:nary>
          <m:f>
            <m:fPr>
              <m:type m:val="bar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∂</m:t>
              </m:r>
            </m:num>
            <m:den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i</m:t>
                  </m:r>
                </m:sup>
              </m:sSup>
            </m:den>
          </m:f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+</m:t>
          </m:r>
          <m:nary>
            <m:naryPr>
              <m:chr m:val="∑"/>
              <m:limLoc m:val="undOvr"/>
              <m:subHide m:val="off"/>
              <m:supHide m:val="on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naryPr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j</m:t>
              </m:r>
            </m:sub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​</m:t>
              </m:r>
            </m:sup>
            <m:e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η</m:t>
                  </m:r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j</m:t>
                  </m:r>
                </m:sup>
              </m:sSup>
            </m:e>
          </m:nary>
          <m:f>
            <m:fPr>
              <m:type m:val="bar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∂</m:t>
              </m:r>
            </m:num>
            <m:den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∂</m:t>
              </m:r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e>
                  </m:acc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j</m:t>
                  </m:r>
                </m:sup>
              </m:sSup>
            </m:den>
          </m:f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nary>
                <m:naryPr>
                  <m:chr m:val="∑"/>
                  <m:limLoc m:val="undOvr"/>
                  <m:subHide m:val="off"/>
                  <m:supHide m:val="on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i</m:t>
                  </m:r>
                </m:sub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​</m:t>
                  </m:r>
                </m:sup>
                <m:e>
                  <m:sSup>
                    <m:sSup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ξ</m:t>
                      </m:r>
                    </m:e>
                    <m:sup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i</m:t>
                      </m:r>
                    </m:sup>
                  </m:sSup>
                </m:e>
              </m:nary>
              <m:f>
                <m:fPr>
                  <m:type m:val="bar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∂</m:t>
                  </m:r>
                  <m:sSup>
                    <m:sSup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e>
                    <m:sup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i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nary>
                <m:naryPr>
                  <m:chr m:val="∑"/>
                  <m:limLoc m:val="undOvr"/>
                  <m:subHide m:val="off"/>
                  <m:supHide m:val="on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j</m:t>
                  </m:r>
                </m:sub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​</m:t>
                  </m:r>
                </m:sup>
                <m:e>
                  <m:sSup>
                    <m:sSup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η</m:t>
                      </m:r>
                    </m:e>
                    <m:sup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j</m:t>
                      </m:r>
                    </m:sup>
                  </m:sSup>
                </m:e>
              </m:nary>
              <m:f>
                <m:fPr>
                  <m:type m:val="bar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∂</m:t>
                  </m:r>
                  <m:sSup>
                    <m:sSup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pPr>
                    <m:e>
                      <m:acc>
                        <m:accPr>
                          <m:chr m:val="̇"/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x</m:t>
                          </m:r>
                        </m:e>
                      </m:acc>
                    </m:e>
                    <m:sup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j</m:t>
                      </m:r>
                    </m:sup>
                  </m:sSup>
                </m:den>
              </m:f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=</m:t>
                  </m:r>
                  <m:nary>
                    <m:naryPr>
                      <m:chr m:val="∑"/>
                      <m:limLoc m:val="undOvr"/>
                      <m:subHide m:val="off"/>
                      <m:supHide m:val="on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i</m:t>
                      </m:r>
                    </m:sub>
                    <m:sup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​</m:t>
                      </m:r>
                    </m:sup>
                    <m:e>
                      <m:sSup>
                        <m:sSupPr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ξ</m:t>
                          </m:r>
                        </m:e>
                        <m:sup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i</m:t>
                          </m:r>
                        </m:sup>
                      </m:sSup>
                    </m:e>
                  </m:nary>
                  <m:f>
                    <m:fPr>
                      <m:type m:val="bar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∂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∂</m:t>
                      </m:r>
                      <m:sSup>
                        <m:sSupPr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i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+</m:t>
                  </m:r>
                  <m:nary>
                    <m:naryPr>
                      <m:chr m:val="∑"/>
                      <m:limLoc m:val="undOvr"/>
                      <m:subHide m:val="off"/>
                      <m:supHide m:val="on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naryPr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j</m:t>
                      </m:r>
                    </m:sub>
                    <m:sup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​</m:t>
                      </m:r>
                    </m:sup>
                    <m:e>
                      <m:sSup>
                        <m:sSupPr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η</m:t>
                          </m:r>
                        </m:e>
                        <m:sup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j</m:t>
                          </m:r>
                        </m:sup>
                      </m:sSup>
                    </m:e>
                  </m:nary>
                  <m:f>
                    <m:fPr>
                      <m:type m:val="bar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∂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∂</m:t>
                      </m:r>
                      <m:sSup>
                        <m:sSupPr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sSup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MTPro2 Math" w:hAnsi="MTPro2 Math" w:eastAsia="MTPro2 Math" w:cs="MTPro2 Math"/>
                                  <w:kern w:val="2"/>
                                  <w:sz w:val="22"/>
                                  <w:szCs w:val="22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MTPro2 Math" w:hAnsi="MTPro2 Math" w:eastAsia="MTPro2 Math" w:cs="MTPro2 Math"/>
                                  <w:kern w:val="2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</m:acc>
                        </m:e>
                        <m:sup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j</m:t>
                          </m:r>
                        </m:sup>
                      </m:sSup>
                    </m:den>
                  </m:f>
                </m:sup>
              </m:sSup>
            </m:sup>
          </m:sSup>
        </m:oMath>
      </m:oMathPara>
    </w:p>
    <w:bookmarkEnd w:id="29"/>
    <w:bookmarkStart w:id="30" w:name="gaussian-integral"/>
    <w:p>
      <w:pPr>
        <w:pStyle w:val="Heading2"/>
      </w:pPr>
      <w:r>
        <w:t xml:space="preserve">10 Gaussian integral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ff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naryPr>
            <m:sub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−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∞</m:t>
              </m:r>
            </m:sup>
            <m:e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−</m:t>
                  </m:r>
                  <m:sSup>
                    <m:sSup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e>
                    <m:sup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2</m:t>
                      </m:r>
                    </m:sup>
                  </m:sSup>
                </m:sup>
              </m:sSup>
            </m:e>
          </m:nary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 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d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x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rad>
            <m:radPr>
              <m:degHide m:val="on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radPr>
            <m:deg/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π</m:t>
              </m:r>
            </m:e>
          </m:rad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nary>
                <m:naryPr>
                  <m:chr m:val="∫"/>
                  <m:limLoc m:val="subSup"/>
                  <m:subHide m:val="off"/>
                  <m:supHide m:val="off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−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∞</m:t>
                  </m:r>
                </m:sub>
                <m:sup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−</m:t>
                      </m:r>
                      <m:sSup>
                        <m:sSupPr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sup>
                  </m:sSup>
                </m:e>
              </m:nary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 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d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rad>
                <m:radPr>
                  <m:degHide m:val="on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π</m:t>
                  </m:r>
                </m:e>
              </m:rad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nary>
                    <m:naryPr>
                      <m:chr m:val="∫"/>
                      <m:limLoc m:val="subSup"/>
                      <m:subHide m:val="off"/>
                      <m:supHide m:val="off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−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∞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−</m:t>
                          </m:r>
                          <m:sSup>
                            <m:sSupPr>
                              <m:ctrlPr>
                                <w:rPr>
                                  <w:rFonts w:ascii="MTPro2 Math" w:hAnsi="MTPro2 Math" w:eastAsia="MTPro2 Math" w:cs="MTPro2 Math"/>
                                  <w:kern w:val="2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MTPro2 Math" w:hAnsi="MTPro2 Math" w:eastAsia="MTPro2 Math" w:cs="MTPro2 Math"/>
                                  <w:kern w:val="2"/>
                                  <w:sz w:val="22"/>
                                  <w:szCs w:val="22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MTPro2 Math" w:hAnsi="MTPro2 Math" w:eastAsia="MTPro2 Math" w:cs="MTPro2 Math"/>
                                  <w:kern w:val="2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sup>
                      </m:sSup>
                    </m:e>
                  </m:nary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 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d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=</m:t>
                  </m:r>
                  <m:rad>
                    <m:radPr>
                      <m:degHide m:val="on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radPr>
                    <m:deg/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π</m:t>
                      </m:r>
                    </m:e>
                  </m:rad>
                </m:sup>
              </m:sSup>
            </m:sup>
          </m:sSup>
        </m:oMath>
      </m:oMathPara>
    </w:p>
    <w:bookmarkEnd w:id="30"/>
    <w:bookmarkStart w:id="31" w:name="piecewise-expressions"/>
    <w:p>
      <w:pPr>
        <w:pStyle w:val="Heading2"/>
      </w:pPr>
      <w:r>
        <w:t xml:space="preserve">11 Piecewise expressions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d>
            <m:dPr>
              <m:begChr m:val="("/>
              <m:endChr m:val=")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</m:d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d>
            <m:dPr>
              <m:begChr m:val="{"/>
              <m:endChr m:val="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left"/>
                        <m:count m:val="1"/>
                      </m:mcPr>
                    </m:mc>
                    <m:mc>
                      <m:mcPr>
                        <m:mcJc m:val="left"/>
                        <m:count m:val="1"/>
                      </m:mcPr>
                    </m:mc>
                  </m:mcs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,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≥</m:t>
                    </m:r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  <m:r>
                      <m:rPr>
                        <m:sty m:val="p"/>
                      </m:rP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,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−</m:t>
                    </m:r>
                    <m:sSup>
                      <m:sSupPr>
                        <m:ctrl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x</m:t>
                        </m:r>
                      </m:e>
                      <m:sup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,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&lt;</m:t>
                    </m:r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  <m:r>
                      <m:rPr>
                        <m:sty m:val="p"/>
                      </m:rP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.</m:t>
                    </m:r>
                  </m:e>
                </m:mr>
              </m:m>
            </m:e>
          </m:d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  <m:d>
                <m:dPr>
                  <m:begChr m:val="("/>
                  <m:endChr m:val=")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d>
                <m:dPr>
                  <m:begChr m:val="{"/>
                  <m:endChr m:val="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m>
                    <m:mPr>
                      <m:baseJc m:val="center"/>
                      <m:plcHide m:val="on"/>
                      <m:mcs>
                        <m:mc>
                          <m:mcPr>
                            <m:mcJc m:val="left"/>
                            <m:count m:val="1"/>
                          </m:mcPr>
                        </m:mc>
                        <m:mc>
                          <m:mcPr>
                            <m:mcJc m:val="left"/>
                            <m:count m:val="1"/>
                          </m:mcPr>
                        </m:mc>
                      </m:mcs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mPr>
                    <m:mr>
                      <m:e>
                        <m:sSup>
                          <m:sSupPr>
                            <m:ctrlP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,</m:t>
                        </m:r>
                      </m:e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≥</m:t>
                        </m:r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0</m:t>
                        </m:r>
                        <m:r>
                          <m:rPr>
                            <m:sty m:val="p"/>
                          </m:r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,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−</m:t>
                        </m:r>
                        <m:sSup>
                          <m:sSupPr>
                            <m:ctrlP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,</m:t>
                        </m:r>
                      </m:e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&lt;</m:t>
                        </m:r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0</m:t>
                        </m:r>
                        <m:r>
                          <m:rPr>
                            <m:sty m:val="p"/>
                          </m:r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.</m:t>
                        </m:r>
                      </m:e>
                    </m:mr>
                  </m:m>
                </m:e>
              </m:d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f</m:t>
                  </m:r>
                  <m:d>
                    <m:dPr>
                      <m:begChr m:val="("/>
                      <m:endChr m:val=")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=</m:t>
                  </m:r>
                  <m:d>
                    <m:dPr>
                      <m:begChr m:val="{"/>
                      <m:endChr m:val=""/>
                      <m:sepChr m:val=""/>
                      <m:grow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dPr>
                    <m:e>
                      <m:m>
                        <m:mPr>
                          <m:baseJc m:val="center"/>
                          <m:plcHide m:val="on"/>
                          <m:mcs>
                            <m:mc>
                              <m:mcPr>
                                <m:mcJc m:val="left"/>
                                <m:count m:val="1"/>
                              </m:mcPr>
                            </m:mc>
                            <m:mc>
                              <m:mcPr>
                                <m:mcJc m:val="left"/>
                                <m:count m:val="1"/>
                              </m:mcPr>
                            </m:mc>
                          </m:mcs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mPr>
                        <m:mr>
                          <m:e>
                            <m:sSup>
                              <m:sSupPr>
                                <m:ctrlPr>
                                  <w:rPr>
                                    <w:rFonts w:ascii="MTPro2 Math" w:hAnsi="MTPro2 Math" w:eastAsia="MTPro2 Math" w:cs="MTPro2 Math"/>
                                    <w:kern w:val="2"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MTPro2 Math" w:hAnsi="MTPro2 Math" w:eastAsia="MTPro2 Math" w:cs="MTPro2 Math"/>
                                    <w:kern w:val="2"/>
                                    <w:sz w:val="22"/>
                                    <w:szCs w:val="22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MTPro2 Math" w:hAnsi="MTPro2 Math" w:eastAsia="MTPro2 Math" w:cs="MTPro2 Math"/>
                                    <w:kern w:val="2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,</m:t>
                            </m:r>
                          </m:e>
                          <m:e>
                            <m: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≥</m:t>
                            </m:r>
                            <m: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,</m:t>
                            </m:r>
                          </m:e>
                        </m:mr>
                        <m:m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−</m:t>
                            </m:r>
                            <m:sSup>
                              <m:sSupPr>
                                <m:ctrlPr>
                                  <w:rPr>
                                    <w:rFonts w:ascii="MTPro2 Math" w:hAnsi="MTPro2 Math" w:eastAsia="MTPro2 Math" w:cs="MTPro2 Math"/>
                                    <w:kern w:val="2"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MTPro2 Math" w:hAnsi="MTPro2 Math" w:eastAsia="MTPro2 Math" w:cs="MTPro2 Math"/>
                                    <w:kern w:val="2"/>
                                    <w:sz w:val="22"/>
                                    <w:szCs w:val="22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MTPro2 Math" w:hAnsi="MTPro2 Math" w:eastAsia="MTPro2 Math" w:cs="MTPro2 Math"/>
                                    <w:kern w:val="2"/>
                                    <w:sz w:val="22"/>
                                    <w:szCs w:val="22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p"/>
                              </m:rP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,</m:t>
                            </m:r>
                          </m:e>
                          <m:e>
                            <m: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x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&lt;</m:t>
                            </m:r>
                            <m: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0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MTPro2 Math" w:hAnsi="MTPro2 Math" w:eastAsia="MTPro2 Math" w:cs="MTPro2 Math"/>
                                <w:kern w:val="2"/>
                                <w:sz w:val="22"/>
                                <w:szCs w:val="22"/>
                              </w:rPr>
                              <m:t>.</m:t>
                            </m:r>
                          </m:e>
                        </m:mr>
                      </m:m>
                    </m:e>
                  </m:d>
                </m:sup>
              </m:sSup>
            </m:sup>
          </m:sSup>
        </m:oMath>
      </m:oMathPara>
    </w:p>
    <w:bookmarkEnd w:id="31"/>
    <w:bookmarkStart w:id="32" w:name="products-and-annotations"/>
    <w:p>
      <w:pPr>
        <w:pStyle w:val="Heading2"/>
      </w:pPr>
      <w:r>
        <w:t xml:space="preserve">12 Products and annotations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limLow>
            <m:limLow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limLowPr>
            <m:e>
              <m:groupChr>
                <m:groupChrPr>
                  <m:chr m:val="⏟"/>
                  <m:pos m:val="bot"/>
                  <m:vertJc m:val="top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⋯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×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V</m:t>
                  </m:r>
                </m:e>
              </m:groupChr>
            </m:e>
            <m:lim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</m:lim>
          </m:limLow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×</m:t>
          </m:r>
          <m:limLow>
            <m:limLow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limLowPr>
            <m:e>
              <m:groupChr>
                <m:groupChrPr>
                  <m:chr m:val="⏟"/>
                  <m:pos m:val="bot"/>
                  <m:vertJc m:val="top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⋯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×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V</m:t>
                  </m:r>
                </m:e>
              </m:groupChr>
            </m:e>
            <m:lim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l</m:t>
              </m:r>
            </m:lim>
          </m:limLow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V</m:t>
              </m:r>
            </m:e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l</m:t>
              </m:r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limLow>
                <m:limLow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limLowPr>
                <m:e>
                  <m:groupChr>
                    <m:groupChrPr>
                      <m:chr m:val="⏟"/>
                      <m:pos m:val="bot"/>
                      <m:vertJc m:val="top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groupChr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V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⋯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×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V</m:t>
                      </m:r>
                    </m:e>
                  </m:groupChr>
                </m:e>
                <m:lim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k</m:t>
                  </m:r>
                </m:lim>
              </m:limLow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×</m:t>
              </m:r>
              <m:limLow>
                <m:limLow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limLowPr>
                <m:e>
                  <m:groupChr>
                    <m:groupChrPr>
                      <m:chr m:val="⏟"/>
                      <m:pos m:val="bot"/>
                      <m:vertJc m:val="top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groupChr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V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×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⋯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×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V</m:t>
                      </m:r>
                    </m:e>
                  </m:groupChr>
                </m:e>
                <m:lim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l</m:t>
                  </m:r>
                </m:lim>
              </m:limLow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V</m:t>
                  </m:r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+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l</m:t>
                  </m:r>
                </m:sup>
              </m:sSup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e>
            <m:sup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e>
                <m:sup>
                  <m:limLow>
                    <m:limLow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limLowPr>
                    <m:e>
                      <m:groupChr>
                        <m:groupChrPr>
                          <m:chr m:val="⏟"/>
                          <m:pos m:val="bot"/>
                          <m:vertJc m:val="top"/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groupChr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V</m:t>
                          </m:r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×</m:t>
                          </m:r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⋯</m:t>
                          </m:r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×</m:t>
                          </m:r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V</m:t>
                          </m:r>
                        </m:e>
                      </m:groupChr>
                    </m:e>
                    <m:lim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k</m:t>
                      </m:r>
                    </m:lim>
                  </m:limLow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×</m:t>
                  </m:r>
                  <m:limLow>
                    <m:limLow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limLowPr>
                    <m:e>
                      <m:groupChr>
                        <m:groupChrPr>
                          <m:chr m:val="⏟"/>
                          <m:pos m:val="bot"/>
                          <m:vertJc m:val="top"/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groupChr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V</m:t>
                          </m:r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×</m:t>
                          </m:r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⋯</m:t>
                          </m:r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×</m:t>
                          </m:r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V</m:t>
                          </m:r>
                        </m:e>
                      </m:groupChr>
                    </m:e>
                    <m:lim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l</m:t>
                      </m:r>
                    </m:lim>
                  </m:limLow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=</m:t>
                  </m:r>
                  <m:sSup>
                    <m:sSup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V</m:t>
                      </m:r>
                    </m:e>
                    <m:sup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+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l</m:t>
                      </m:r>
                    </m:sup>
                  </m:sSup>
                </m:sup>
              </m:sSup>
            </m:sup>
          </m:sSup>
        </m:oMath>
      </m:oMathPara>
    </w:p>
    <w:bookmarkEnd w:id="32"/>
    <w:bookmarkEnd w:id="33"/>
    <w:bookmarkStart w:id="41" w:name="styles-spacing-and-accents"/>
    <w:p>
      <w:pPr>
        <w:pStyle w:val="Heading1"/>
        <w:pageBreakBefore/>
      </w:pPr>
      <w:r>
        <w:t xml:space="preserve">Styles, spacing and accents</w:t>
      </w:r>
    </w:p>
    <w:bookmarkStart w:id="34" w:name="math-alphabets"/>
    <w:p>
      <w:pPr>
        <w:pStyle w:val="Heading2"/>
      </w:pPr>
      <w:r>
        <w:t xml:space="preserve">13 Math alphabets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r>
            <m:rPr>
              <m:sty m:val="i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A</m:t>
          </m:r>
          <m:r>
            <m:rPr>
              <m:sty m:val="i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B</m:t>
          </m:r>
          <m:r>
            <m:rPr>
              <m:sty m:val="i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C</m:t>
          </m:r>
          <m:r>
            <m:rPr>
              <m:sty m:val="i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x</m:t>
          </m:r>
          <m:r>
            <m:rPr>
              <m:sty m:val="i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y</m:t>
          </m:r>
          <m:r>
            <m:rPr>
              <m:sty m:val="i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z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>
            <m:rPr>
              <m:sty m:val="b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A</m:t>
          </m:r>
          <m:r>
            <m:rPr>
              <m:sty m:val="b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B</m:t>
          </m:r>
          <m:r>
            <m:rPr>
              <m:sty m:val="b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C</m:t>
          </m:r>
          <m:r>
            <m:rPr>
              <m:sty m:val="b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x</m:t>
          </m:r>
          <m:r>
            <m:rPr>
              <m:sty m:val="b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y</m:t>
          </m:r>
          <m:r>
            <m:rPr>
              <m:sty m:val="b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z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>
            <m:rPr>
              <m:sty m:val="p"/>
              <m:scr m:val="script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A</m:t>
          </m:r>
          <m:r>
            <m:rPr>
              <m:sty m:val="p"/>
              <m:scr m:val="script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B</m:t>
          </m:r>
          <m:r>
            <m:rPr>
              <m:sty m:val="p"/>
              <m:scr m:val="script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C</m:t>
          </m:r>
          <m:r>
            <m:rPr>
              <m:sty m:val="p"/>
              <m:scr m:val="script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X</m:t>
          </m:r>
          <m:r>
            <m:rPr>
              <m:sty m:val="p"/>
              <m:scr m:val="script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Y</m:t>
          </m:r>
          <m:r>
            <m:rPr>
              <m:sty m:val="p"/>
              <m:scr m:val="script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Z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>
            <m:rPr>
              <m:sty m:val="p"/>
              <m:scr m:val="double-struck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C</m:t>
          </m:r>
          <m:r>
            <m:rPr>
              <m:sty m:val="p"/>
              <m:scr m:val="double-struck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H</m:t>
          </m:r>
          <m:r>
            <m:rPr>
              <m:sty m:val="p"/>
              <m:scr m:val="double-struck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N</m:t>
          </m:r>
          <m:r>
            <m:rPr>
              <m:sty m:val="p"/>
              <m:scr m:val="double-struck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R</m:t>
          </m:r>
          <m:r>
            <m:rPr>
              <m:sty m:val="p"/>
              <m:scr m:val="double-struck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Z</m:t>
          </m:r>
        </m:oMath>
      </m:oMathPara>
    </w:p>
    <w:bookmarkEnd w:id="34"/>
    <w:bookmarkStart w:id="35" w:name="primes"/>
    <w:p>
      <w:pPr>
        <w:pStyle w:val="Heading2"/>
      </w:pPr>
      <w:r>
        <w:t xml:space="preserve">14 Primes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′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′</m:t>
              </m:r>
            </m:sup>
          </m:sSup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″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′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′</m:t>
              </m:r>
            </m:sup>
          </m:sSup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‴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′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′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′</m:t>
              </m:r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i</m:t>
              </m:r>
            </m:sub>
          </m:sSub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′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sSubSup>
            <m:sSub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′</m:t>
              </m:r>
            </m:sup>
          </m:sSubSup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′</m:t>
          </m:r>
          <m:d>
            <m:dPr>
              <m:begChr m:val="("/>
              <m:endChr m:val=")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</m:d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+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g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″</m:t>
          </m:r>
          <m:d>
            <m:dPr>
              <m:begChr m:val="("/>
              <m:endChr m:val=")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</m:d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+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h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‴</m:t>
          </m:r>
          <m:d>
            <m:dPr>
              <m:begChr m:val="("/>
              <m:endChr m:val=")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</m:d>
        </m:oMath>
      </m:oMathPara>
    </w:p>
    <w:bookmarkEnd w:id="35"/>
    <w:bookmarkStart w:id="36" w:name="ordinary-spacing-and-scripts"/>
    <w:p>
      <w:pPr>
        <w:pStyle w:val="Heading2"/>
      </w:pPr>
      <w:r>
        <w:t xml:space="preserve">15 Ordinary spacing and scripts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1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0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A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α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V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1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W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1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j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1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f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i</m:t>
          </m:r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i</m:t>
              </m:r>
            </m:sub>
          </m:sSub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</m:e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sup>
          </m:sSup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sSubSup>
            <m:sSub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i</m:t>
              </m:r>
            </m:sub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sup>
          </m:sSubSup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</m:sub>
          </m:sSub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+</m:t>
          </m:r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j</m:t>
              </m:r>
            </m:sub>
          </m:sSub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+</m:t>
          </m:r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p</m:t>
              </m:r>
            </m:sub>
          </m:sSub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+</m:t>
          </m:r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</m:sub>
          </m:sSub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+</m:t>
          </m:r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</m:sub>
          </m:sSub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+</m:t>
          </m:r>
          <m:sSub>
            <m:sSub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b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M</m:t>
              </m:r>
            </m:sub>
          </m:sSub>
        </m:oMath>
      </m:oMathPara>
    </w:p>
    <w:bookmarkEnd w:id="36"/>
    <w:bookmarkStart w:id="37" w:name="single-character-accents"/>
    <w:p>
      <w:pPr>
        <w:pStyle w:val="Heading2"/>
      </w:pPr>
      <w:r>
        <w:t xml:space="preserve">16 Single-character accents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acc>
            <m:accPr>
              <m:chr m:val="̂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</m:acc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acc>
            <m:accPr>
              <m:chr m:val="̃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</m:e>
          </m:acc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acc>
            <m:accPr>
              <m:chr m:val="̌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z</m:t>
              </m:r>
            </m:e>
          </m:acc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acc>
            <m:accPr>
              <m:chr m:val="‾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M</m:t>
              </m:r>
            </m:e>
          </m:acc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acc>
            <m:accPr>
              <m:chr m:val="⃗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</m:e>
          </m:acc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acc>
            <m:accPr>
              <m:chr m:val="̇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Γ</m:t>
              </m:r>
            </m:e>
          </m:acc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acc>
            <m:accPr>
              <m:chr m:val="̈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Γ</m:t>
              </m:r>
            </m:e>
          </m:acc>
        </m:oMath>
      </m:oMathPara>
    </w:p>
    <w:bookmarkEnd w:id="37"/>
    <w:bookmarkStart w:id="38" w:name="wide-accents"/>
    <w:p>
      <w:pPr>
        <w:pStyle w:val="Heading2"/>
      </w:pPr>
      <w:r>
        <w:t xml:space="preserve">17 Wide accents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acc>
            <m:accPr>
              <m:chr m:val="̂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</m:e>
          </m:acc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acc>
            <m:accPr>
              <m:chr m:val="̂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z</m:t>
              </m:r>
            </m:e>
          </m:acc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acc>
            <m:accPr>
              <m:chr m:val="̂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z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w</m:t>
              </m:r>
            </m:e>
          </m:acc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acc>
            <m:accPr>
              <m:chr m:val="̃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</m:e>
          </m:acc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acc>
            <m:accPr>
              <m:chr m:val="̃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z</m:t>
              </m:r>
            </m:e>
          </m:acc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</m:t>
          </m:r>
          <m:acc>
            <m:accPr>
              <m:chr m:val="̃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z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w</m:t>
              </m:r>
            </m:e>
          </m:acc>
        </m:oMath>
      </m:oMathPara>
    </w:p>
    <w:bookmarkEnd w:id="38"/>
    <w:bookmarkStart w:id="39" w:name="bars-and-overlines"/>
    <w:p>
      <w:pPr>
        <w:pStyle w:val="Heading2"/>
      </w:pPr>
      <w:r>
        <w:t xml:space="preserve">18 Bars and overlines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acc>
            <m:accPr>
              <m:chr m:val="‾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acc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M</m:t>
              </m:r>
            </m:e>
          </m:acc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bar>
            <m:barPr>
              <m:pos m:val="top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bar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</m:e>
          </m:ba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bar>
            <m:barPr>
              <m:pos m:val="top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bar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z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w</m:t>
              </m:r>
            </m:e>
          </m:bar>
        </m:oMath>
      </m:oMathPara>
    </w:p>
    <w:bookmarkEnd w:id="39"/>
    <w:bookmarkStart w:id="40" w:name="radicals"/>
    <w:p>
      <w:pPr>
        <w:pStyle w:val="Heading2"/>
      </w:pPr>
      <w:r>
        <w:t xml:space="preserve">19 Radicals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rad>
            <m:radPr>
              <m:degHide m:val="on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radPr>
            <m:deg/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</m:rad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ad>
            <m:radPr>
              <m:degHide m:val="on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radPr>
            <m:deg/>
            <m:e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y</m:t>
                  </m:r>
                </m:e>
                <m:sup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sup>
              </m:sSup>
            </m:e>
          </m:rad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ad>
            <m:rad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radPr>
            <m:deg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n</m:t>
              </m:r>
            </m:deg>
            <m:e>
              <m:f>
                <m:fPr>
                  <m:type m:val="bar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a</m:t>
                  </m:r>
                </m:num>
                <m:den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b</m:t>
                  </m:r>
                </m:den>
              </m:f>
            </m:e>
          </m:rad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rad>
            <m:radPr>
              <m:degHide m:val="on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radPr>
            <m:deg/>
            <m:e>
              <m:f>
                <m:fPr>
                  <m:type m:val="bar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+</m:t>
                  </m:r>
                  <m:rad>
                    <m:radPr>
                      <m:degHide m:val="on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radPr>
                    <m:deg/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1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e>
                  </m:rad>
                </m:num>
                <m:den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2</m:t>
                  </m:r>
                </m:den>
              </m:f>
            </m:e>
          </m:rad>
        </m:oMath>
      </m:oMathPara>
    </w:p>
    <w:bookmarkEnd w:id="40"/>
    <w:bookmarkEnd w:id="41"/>
    <w:bookmarkStart w:id="48" w:name="braces-delimiters-and-operators"/>
    <w:p>
      <w:pPr>
        <w:pStyle w:val="Heading1"/>
        <w:pageBreakBefore/>
      </w:pPr>
      <w:r>
        <w:t xml:space="preserve">Braces, delimiters and operators</w:t>
      </w:r>
    </w:p>
    <w:bookmarkStart w:id="42" w:name="overbraces"/>
    <w:p>
      <w:pPr>
        <w:pStyle w:val="Heading2"/>
      </w:pPr>
      <w:r>
        <w:t xml:space="preserve">20 Overbraces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groupChr>
            <m:groupChrPr>
              <m:chr m:val="⏞"/>
              <m:pos m:val="top"/>
              <m:vertJc m:val="bot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groupChr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</m:e>
          </m:groupCh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groupChr>
            <m:groupChrPr>
              <m:chr m:val="⏞"/>
              <m:pos m:val="top"/>
              <m:vertJc m:val="bot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groupChr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B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C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D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E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</m:e>
          </m:groupCh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groupChr>
            <m:groupChrPr>
              <m:chr m:val="⏞"/>
              <m:pos m:val="top"/>
              <m:vertJc m:val="bot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groupChr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B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C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D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E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G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H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I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J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L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M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N</m:t>
              </m:r>
            </m:e>
          </m:groupChr>
        </m:oMath>
      </m:oMathPara>
    </w:p>
    <w:bookmarkEnd w:id="42"/>
    <w:bookmarkStart w:id="43" w:name="underbraces"/>
    <w:p>
      <w:pPr>
        <w:pStyle w:val="Heading2"/>
      </w:pPr>
      <w:r>
        <w:t xml:space="preserve">21 Underbraces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groupChr>
            <m:groupChrPr>
              <m:chr m:val="⏟"/>
              <m:pos m:val="bot"/>
              <m:vertJc m:val="top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groupChr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</m:e>
          </m:groupCh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groupChr>
            <m:groupChrPr>
              <m:chr m:val="⏟"/>
              <m:pos m:val="bot"/>
              <m:vertJc m:val="top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groupChr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B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C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D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E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</m:e>
          </m:groupCh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groupChr>
            <m:groupChrPr>
              <m:chr m:val="⏟"/>
              <m:pos m:val="bot"/>
              <m:vertJc m:val="top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groupChr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B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C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D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E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G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H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I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J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L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M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N</m:t>
              </m:r>
            </m:e>
          </m:groupChr>
        </m:oMath>
      </m:oMathPara>
    </w:p>
    <w:bookmarkEnd w:id="43"/>
    <w:bookmarkStart w:id="44" w:name="brace-annotations"/>
    <w:p>
      <w:pPr>
        <w:pStyle w:val="Heading2"/>
      </w:pPr>
      <w:r>
        <w:t xml:space="preserve">22 Brace annotations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limUpp>
            <m:limUp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limUppPr>
            <m:e>
              <m:groupChr>
                <m:groupChrPr>
                  <m:chr m:val="⏞"/>
                  <m:pos m:val="top"/>
                  <m:vertJc m:val="bot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a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a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⋯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a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n</m:t>
                      </m:r>
                    </m:sub>
                  </m:sSub>
                </m:e>
              </m:groupChr>
            </m:e>
            <m:lim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n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 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t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e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r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m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s</m:t>
              </m:r>
            </m:lim>
          </m:limUpp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limLow>
            <m:limLow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limLowPr>
            <m:e>
              <m:groupChr>
                <m:groupChrPr>
                  <m:chr m:val="⏟"/>
                  <m:pos m:val="bot"/>
                  <m:vertJc m:val="top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⋯</m:t>
                  </m:r>
                  <m:sSub>
                    <m:sSubPr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e>
                    <m:sub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m</m:t>
                      </m:r>
                    </m:sub>
                  </m:sSub>
                </m:e>
              </m:groupChr>
            </m:e>
            <m:lim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m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 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f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a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c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t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o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r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s</m:t>
              </m:r>
            </m:lim>
          </m:limLow>
        </m:oMath>
      </m:oMathPara>
    </w:p>
    <w:bookmarkEnd w:id="44"/>
    <w:bookmarkStart w:id="45" w:name="tall-delimiters"/>
    <w:p>
      <w:pPr>
        <w:pStyle w:val="Heading2"/>
      </w:pPr>
      <w:r>
        <w:t xml:space="preserve">23 Tall delimiters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d>
            <m:dPr>
              <m:begChr m:val="("/>
              <m:endChr m:val=")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</m:mcs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12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13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22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23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31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32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a</m:t>
                        </m:r>
                      </m:e>
                      <m:sub>
                        <m:r>
                          <w:rPr>
                            <w:rFonts w:ascii="MTPro2 Math" w:hAnsi="MTPro2 Math" w:eastAsia="MTPro2 Math" w:cs="MTPro2 Math"/>
                            <w:kern w:val="2"/>
                            <w:sz w:val="22"/>
                            <w:szCs w:val="22"/>
                          </w:rPr>
                          <m:t>33</m:t>
                        </m:r>
                      </m:sub>
                    </m:sSub>
                  </m:e>
                </m:mr>
              </m:m>
            </m:e>
          </m:d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d>
            <m:dPr>
              <m:begChr m:val="["/>
              <m:endChr m:val="]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</m:mcs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mPr>
                <m:mr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1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1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1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0</m:t>
                    </m:r>
                  </m:e>
                  <m:e>
                    <m:r>
                      <w:rPr>
                        <w:rFonts w:ascii="MTPro2 Math" w:hAnsi="MTPro2 Math" w:eastAsia="MTPro2 Math" w:cs="MTPro2 Math"/>
                        <w:kern w:val="2"/>
                        <w:sz w:val="22"/>
                        <w:szCs w:val="22"/>
                      </w:rPr>
                      <m:t>1</m:t>
                    </m:r>
                  </m:e>
                </m:mr>
              </m:m>
            </m:e>
          </m:d>
        </m:oMath>
      </m:oMathPara>
    </w:p>
    <w:bookmarkEnd w:id="45"/>
    <w:bookmarkStart w:id="46" w:name="nested-fractions-and-delimiters"/>
    <w:p>
      <w:pPr>
        <w:pStyle w:val="Heading2"/>
      </w:pPr>
      <w:r>
        <w:t xml:space="preserve">24 Nested fractions and delimiters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d>
            <m:dPr>
              <m:begChr m:val="{"/>
              <m:endChr m:val="}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f>
                <m:fPr>
                  <m:type m:val="bar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+</m:t>
                  </m:r>
                  <m:f>
                    <m:fPr>
                      <m:type m:val="bar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1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+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x</m:t>
                      </m:r>
                    </m:den>
                  </m:f>
                </m:den>
              </m:f>
            </m:e>
          </m:d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d>
            <m:dPr>
              <m:begChr m:val="⟨"/>
              <m:endChr m:val="⟩"/>
              <m:sepChr m:val=""/>
              <m:grow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dPr>
            <m:e>
              <m:f>
                <m:fPr>
                  <m:type m:val="bar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+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v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radPr>
                    <m:deg/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1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+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∥</m:t>
                      </m:r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u</m:t>
                      </m:r>
                      <m:sSup>
                        <m:sSupPr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∥</m:t>
                          </m:r>
                        </m:e>
                        <m:sup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,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w</m:t>
              </m:r>
            </m:e>
          </m:d>
        </m:oMath>
      </m:oMathPara>
    </w:p>
    <w:bookmarkEnd w:id="46"/>
    <w:bookmarkStart w:id="47" w:name="limits-and-large-operators"/>
    <w:p>
      <w:pPr>
        <w:pStyle w:val="Heading2"/>
      </w:pPr>
      <w:r>
        <w:t xml:space="preserve">25 Limits and large operators</w:t>
      </w:r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subHide m:val="off"/>
              <m:supHide m:val="off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naryPr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0</m:t>
              </m:r>
            </m:sub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n</m:t>
              </m:r>
            </m:sup>
            <m:e>
              <m:d>
                <m:dPr>
                  <m:begChr m:val="("/>
                  <m:endChr m:val=")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n</m:t>
                      </m:r>
                    </m:num>
                    <m:den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k</m:t>
                      </m:r>
                    </m:den>
                  </m:f>
                </m:e>
              </m:d>
            </m:e>
          </m:nary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x</m:t>
              </m:r>
            </m:e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</m:sup>
          </m:sSup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y</m:t>
              </m:r>
            </m:e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n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−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</m:sup>
          </m:sSup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sSup>
            <m:sSupPr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sSupPr>
            <m:e>
              <m:d>
                <m:dPr>
                  <m:begChr m:val="("/>
                  <m:endChr m:val=")"/>
                  <m:sepChr m:val=""/>
                  <m:grow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+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y</m:t>
                  </m:r>
                </m:e>
              </m:d>
            </m:e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n</m:t>
              </m:r>
            </m:sup>
          </m:sSup>
        </m:oMath>
      </m:oMathPara>
    </w:p>
    <w:p>
      <w:pPr>
        <w:pStyle w:val="Equation"/>
        <w:rPr>
          <w:rFonts w:ascii="MTPro2 Math" w:hAnsi="MTPro2 Math" w:eastAsia="MTPro2 Math" w:cs="MTPro2 Math"/>
          <w:kern w:val="2"/>
          <w:sz w:val="22"/>
          <w:szCs w:val="22"/>
        </w:rPr>
      </w:pPr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ff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naryPr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0</m:t>
              </m:r>
            </m:sub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1</m:t>
              </m:r>
            </m:sup>
            <m:e>
              <m:f>
                <m:fPr>
                  <m:type m:val="bar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d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x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</m:ctrlPr>
                    </m:radPr>
                    <m:deg/>
                    <m:e>
                      <m: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1</m:t>
                      </m:r>
                      <m:r>
                        <m:rPr>
                          <m:sty m:val="p"/>
                        </m:rPr>
                        <w:rPr>
                          <w:rFonts w:ascii="MTPro2 Math" w:hAnsi="MTPro2 Math" w:eastAsia="MTPro2 Math" w:cs="MTPro2 Math"/>
                          <w:kern w:val="2"/>
                          <w:sz w:val="22"/>
                          <w:szCs w:val="22"/>
                        </w:rPr>
                        <m:t>−</m:t>
                      </m:r>
                      <m:sSup>
                        <m:sSupPr>
                          <m:ctrlP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MTPro2 Math" w:hAnsi="MTPro2 Math" w:eastAsia="MTPro2 Math" w:cs="MTPro2 Math"/>
                              <w:kern w:val="2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</m:e>
          </m:nary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f>
            <m:fPr>
              <m:type m:val="bar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fPr>
            <m:num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π</m:t>
              </m:r>
            </m:num>
            <m:den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2</m:t>
              </m:r>
            </m:den>
          </m:f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  </m:t>
          </m:r>
          <m:nary>
            <m:naryPr>
              <m:chr m:val="∏"/>
              <m:limLoc m:val="undOvr"/>
              <m:subHide m:val="off"/>
              <m:supHide m:val="off"/>
              <m:ctrl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</m:ctrlPr>
            </m:naryPr>
            <m:sub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k</m:t>
              </m:r>
              <m:r>
                <m:rPr>
                  <m:sty m:val="p"/>
                </m:rP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=</m:t>
              </m:r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1</m:t>
              </m:r>
            </m:sub>
            <m:sup>
              <m:r>
                <w:rPr>
                  <w:rFonts w:ascii="MTPro2 Math" w:hAnsi="MTPro2 Math" w:eastAsia="MTPro2 Math" w:cs="MTPro2 Math"/>
                  <w:kern w:val="2"/>
                  <w:sz w:val="22"/>
                  <w:szCs w:val="22"/>
                </w:rPr>
                <m:t>n</m:t>
              </m:r>
            </m:sup>
            <m:e>
              <m:f>
                <m:fPr>
                  <m:type m:val="bar"/>
                  <m:ctrl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+</m:t>
                  </m:r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MTPro2 Math" w:hAnsi="MTPro2 Math" w:eastAsia="MTPro2 Math" w:cs="MTPro2 Math"/>
                      <w:kern w:val="2"/>
                      <w:sz w:val="22"/>
                      <w:szCs w:val="22"/>
                    </w:rPr>
                    <m:t>k</m:t>
                  </m:r>
                </m:den>
              </m:f>
            </m:e>
          </m:nary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=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n</m:t>
          </m:r>
          <m:r>
            <m:rPr>
              <m:sty m:val="p"/>
            </m:rPr>
            <w:rPr>
              <w:rFonts w:ascii="MTPro2 Math" w:hAnsi="MTPro2 Math" w:eastAsia="MTPro2 Math" w:cs="MTPro2 Math"/>
              <w:kern w:val="2"/>
              <w:sz w:val="22"/>
              <w:szCs w:val="22"/>
            </w:rPr>
            <m:t>+</m:t>
          </m:r>
          <m:r>
            <w:rPr>
              <w:rFonts w:ascii="MTPro2 Math" w:hAnsi="MTPro2 Math" w:eastAsia="MTPro2 Math" w:cs="MTPro2 Math"/>
              <w:kern w:val="2"/>
              <w:sz w:val="22"/>
              <w:szCs w:val="22"/>
            </w:rPr>
            <m:t>1</m:t>
          </m:r>
        </m:oMath>
      </m:oMathPara>
    </w:p>
    <w:bookmarkEnd w:id="47"/>
    <w:bookmarkEnd w:id="48"/>
    <w:sectPr>
      <w:headerReference w:type="default" r:id="rId9"/>
      <w:footerReference w:type="default" r:id="rId10"/>
      <w:pgSz w:w="11906" w:h="16838"/>
      <w:pgMar w:left="1134" w:right="1134" w:top="1134" w:bottom="1134" w:header="567" w:footer="567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pecimenFooter"/>
      <w:jc w:val="center"/>
    </w:pPr>
    <w:fldSimple w:instr="PAGE"/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pecimenHeader"/>
    </w:pPr>
    <w:r>
      <w:rPr>
        <w:b/>
        <w:kern w:val="2"/>
      </w:rPr>
      <w:t>mtp2otf</w:t>
    </w:r>
    <w:r>
      <w:t xml:space="preserve">  |  MTPro2 Math / Full</w:t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MTPro2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ascii="Times New Roman" w:hAnsi="Times New Roman" w:eastAsia="Times New Roman" w:cs="Times New Roman"/>
        <w:kern w:val="2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keepLines/>
      <w:spacing w:before="0" w:after="80" w:line="240" w:lineRule="auto"/>
    </w:pPr>
    <w:rPr>
      <w:rFonts w:ascii="Times New Roman" w:hAnsi="Times New Roman" w:eastAsia="Times New Roman" w:cs="Times New Roman"/>
      <w:b w:val="0"/>
      <w:color w:val="000000"/>
      <w:kern w:val="2"/>
      <w:sz w:val="18"/>
    </w:rPr>
  </w:style>
  <w:style w:styleId="BodyText" w:type="paragraph">
    <w:name w:val="Body Text"/>
    <w:basedOn w:val="Normal"/>
    <w:link w:val="BodyTextChar"/>
    <w:pPr>
      <w:keepLines/>
      <w:spacing w:after="80" w:before="0" w:line="240" w:lineRule="auto"/>
    </w:pPr>
    <w:qFormat/>
    <w:rPr>
      <w:rFonts w:ascii="Times New Roman" w:hAnsi="Times New Roman" w:eastAsia="Times New Roman" w:cs="Times New Roman"/>
      <w:b w:val="0"/>
      <w:color w:val="000000"/>
      <w:kern w:val="2"/>
      <w:sz w:val="18"/>
    </w:rPr>
  </w:style>
  <w:style w:customStyle="1" w:styleId="FirstParagraph" w:type="paragraph">
    <w:name w:val="First Paragraph"/>
    <w:basedOn w:val="BodyText"/>
    <w:next w:val="BodyText"/>
    <w:qFormat/>
    <w:pPr>
      <w:keepLines/>
      <w:spacing w:before="0" w:after="80" w:line="240" w:lineRule="auto"/>
    </w:pPr>
    <w:rPr>
      <w:rFonts w:ascii="Times New Roman" w:hAnsi="Times New Roman" w:eastAsia="Times New Roman" w:cs="Times New Roman"/>
      <w:b w:val="0"/>
      <w:color w:val="000000"/>
      <w:kern w:val="2"/>
      <w:sz w:val="18"/>
    </w:r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cstheme="majorBidi" w:ascii="Times New Roman" w:hAnsi="Times New Roman" w:eastAsia="Times New Roman" w:cs="Times New Roman"/>
      <w:b/>
      <w:bCs/>
      <w:color w:themeColor="accent1" w:themeShade="B5" w:val="345A8A"/>
      <w:kern w:val="2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kern w:val="2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kern w:val="2"/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kern w:val="2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kern w:val="2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160" w:before="0" w:line="240" w:lineRule="auto"/>
      <w:outlineLvl w:val="0"/>
    </w:pPr>
    <w:rPr>
      <w:rFonts w:cstheme="majorBidi" w:ascii="Times New Roman" w:hAnsi="Times New Roman" w:eastAsia="Times New Roman" w:cs="Times New Roman"/>
      <w:b w:val="0"/>
      <w:bCs/>
      <w:color w:val="000000"/>
      <w:kern w:val="2"/>
      <w:sz w:val="30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60" w:before="140" w:line="240" w:lineRule="auto"/>
      <w:outlineLvl w:val="1"/>
    </w:pPr>
    <w:rPr>
      <w:rFonts w:cstheme="majorBidi" w:ascii="Times New Roman" w:hAnsi="Times New Roman" w:eastAsia="Times New Roman" w:cs="Times New Roman"/>
      <w:b/>
      <w:bCs/>
      <w:color w:val="000000"/>
      <w:kern w:val="2"/>
      <w:sz w:val="1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cstheme="majorBidi" w:ascii="Times New Roman" w:hAnsi="Times New Roman" w:eastAsia="Times New Roman" w:cs="Times New Roman"/>
      <w:b/>
      <w:bCs/>
      <w:color w:themeColor="accent1" w:val="4F81BD"/>
      <w:kern w:val="2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cstheme="majorBidi" w:ascii="Times New Roman" w:hAnsi="Times New Roman" w:eastAsia="Times New Roman" w:cs="Times New Roman"/>
      <w:i/>
      <w:bCs/>
      <w:color w:themeColor="accent1" w:val="4F81BD"/>
      <w:kern w:val="2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cstheme="majorBidi" w:ascii="Times New Roman" w:hAnsi="Times New Roman" w:eastAsia="Times New Roman" w:cs="Times New Roman"/>
      <w:iCs/>
      <w:color w:themeColor="accent1" w:val="4F81BD"/>
      <w:kern w:val="2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cstheme="majorBidi" w:ascii="Times New Roman" w:hAnsi="Times New Roman" w:eastAsia="Times New Roman" w:cs="Times New Roman"/>
      <w:color w:themeColor="accent1" w:val="4F81BD"/>
      <w:kern w:val="2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cstheme="majorBidi" w:ascii="Times New Roman" w:hAnsi="Times New Roman" w:eastAsia="Times New Roman" w:cs="Times New Roman"/>
      <w:color w:themeColor="accent1" w:val="4F81BD"/>
      <w:kern w:val="2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cstheme="majorBidi" w:ascii="Times New Roman" w:hAnsi="Times New Roman" w:eastAsia="Times New Roman" w:cs="Times New Roman"/>
      <w:color w:themeColor="accent1" w:val="4F81BD"/>
      <w:kern w:val="2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cstheme="majorBidi" w:ascii="Times New Roman" w:hAnsi="Times New Roman" w:eastAsia="Times New Roman" w:cs="Times New Roman"/>
      <w:color w:themeColor="accent1" w:val="4F81BD"/>
      <w:kern w:val="2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  <w:kern w:val="2"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  <w:kern w:val="2"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Times New Roman" w:hAnsi="Times New Roman" w:eastAsia="Times New Roman" w:cs="Times New Roman"/>
      <w:kern w:val="2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kern w:val="2"/>
      <w:vertAlign w:val="superscript"/>
    </w:rPr>
  </w:style>
  <w:style w:styleId="Hyperlink" w:type="character">
    <w:name w:val="Hyperlink"/>
    <w:basedOn w:val="BodyTextChar"/>
    <w:rPr>
      <w:color w:themeColor="accent1" w:val="4F81BD"/>
      <w:kern w:val="2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cstheme="majorBidi" w:ascii="Times New Roman" w:hAnsi="Times New Roman" w:eastAsia="Times New Roman" w:cs="Times New Roman"/>
      <w:b w:val="0"/>
      <w:bCs w:val="0"/>
      <w:color w:themeColor="accent1" w:themeShade="BF" w:val="365F91"/>
      <w:kern w:val="2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  <w:kern w:val="2"/>
    </w:rPr>
  </w:style>
  <w:style w:type="character" w:customStyle="1" w:styleId="DataTypeTok">
    <w:name w:val="DataTypeTok"/>
    <w:basedOn w:val="VerbatimChar"/>
    <w:rPr>
      <w:color w:val="902000"/>
      <w:kern w:val="2"/>
    </w:rPr>
  </w:style>
  <w:style w:type="character" w:customStyle="1" w:styleId="DecValTok">
    <w:name w:val="DecValTok"/>
    <w:basedOn w:val="VerbatimChar"/>
    <w:rPr>
      <w:color w:val="40a070"/>
      <w:kern w:val="2"/>
    </w:rPr>
  </w:style>
  <w:style w:type="character" w:customStyle="1" w:styleId="BaseNTok">
    <w:name w:val="BaseNTok"/>
    <w:basedOn w:val="VerbatimChar"/>
    <w:rPr>
      <w:color w:val="40a070"/>
      <w:kern w:val="2"/>
    </w:rPr>
  </w:style>
  <w:style w:type="character" w:customStyle="1" w:styleId="FloatTok">
    <w:name w:val="FloatTok"/>
    <w:basedOn w:val="VerbatimChar"/>
    <w:rPr>
      <w:color w:val="40a070"/>
      <w:kern w:val="2"/>
    </w:rPr>
  </w:style>
  <w:style w:type="character" w:customStyle="1" w:styleId="ConstantTok">
    <w:name w:val="ConstantTok"/>
    <w:basedOn w:val="VerbatimChar"/>
    <w:rPr>
      <w:color w:val="880000"/>
      <w:kern w:val="2"/>
    </w:rPr>
  </w:style>
  <w:style w:type="character" w:customStyle="1" w:styleId="CharTok">
    <w:name w:val="CharTok"/>
    <w:basedOn w:val="VerbatimChar"/>
    <w:rPr>
      <w:color w:val="4070a0"/>
      <w:kern w:val="2"/>
    </w:rPr>
  </w:style>
  <w:style w:type="character" w:customStyle="1" w:styleId="SpecialCharTok">
    <w:name w:val="SpecialCharTok"/>
    <w:basedOn w:val="VerbatimChar"/>
    <w:rPr>
      <w:color w:val="4070a0"/>
      <w:kern w:val="2"/>
    </w:rPr>
  </w:style>
  <w:style w:type="character" w:customStyle="1" w:styleId="StringTok">
    <w:name w:val="StringTok"/>
    <w:basedOn w:val="VerbatimChar"/>
    <w:rPr>
      <w:color w:val="4070a0"/>
      <w:kern w:val="2"/>
    </w:rPr>
  </w:style>
  <w:style w:type="character" w:customStyle="1" w:styleId="VerbatimStringTok">
    <w:name w:val="VerbatimStringTok"/>
    <w:basedOn w:val="VerbatimChar"/>
    <w:rPr>
      <w:color w:val="4070a0"/>
      <w:kern w:val="2"/>
    </w:rPr>
  </w:style>
  <w:style w:type="character" w:customStyle="1" w:styleId="SpecialStringTok">
    <w:name w:val="SpecialStringTok"/>
    <w:basedOn w:val="VerbatimChar"/>
    <w:rPr>
      <w:color w:val="bb6688"/>
      <w:kern w:val="2"/>
    </w:rPr>
  </w:style>
  <w:style w:type="character" w:customStyle="1" w:styleId="ImportTok">
    <w:name w:val="ImportTok"/>
    <w:basedOn w:val="VerbatimChar"/>
    <w:rPr>
      <w:color w:val="008000"/>
      <w:b/>
      <w:kern w:val="2"/>
    </w:rPr>
  </w:style>
  <w:style w:type="character" w:customStyle="1" w:styleId="CommentTok">
    <w:name w:val="CommentTok"/>
    <w:basedOn w:val="VerbatimChar"/>
    <w:rPr>
      <w:color w:val="60a0b0"/>
      <w:i/>
      <w:kern w:val="2"/>
    </w:rPr>
  </w:style>
  <w:style w:type="character" w:customStyle="1" w:styleId="DocumentationTok">
    <w:name w:val="DocumentationTok"/>
    <w:basedOn w:val="VerbatimChar"/>
    <w:rPr>
      <w:color w:val="ba2121"/>
      <w:i/>
      <w:kern w:val="2"/>
    </w:rPr>
  </w:style>
  <w:style w:type="character" w:customStyle="1" w:styleId="AnnotationTok">
    <w:name w:val="AnnotationTok"/>
    <w:basedOn w:val="VerbatimChar"/>
    <w:rPr>
      <w:color w:val="60a0b0"/>
      <w:b/>
      <w:i/>
      <w:kern w:val="2"/>
    </w:rPr>
  </w:style>
  <w:style w:type="character" w:customStyle="1" w:styleId="CommentVarTok">
    <w:name w:val="CommentVarTok"/>
    <w:basedOn w:val="VerbatimChar"/>
    <w:rPr>
      <w:color w:val="60a0b0"/>
      <w:b/>
      <w:i/>
      <w:kern w:val="2"/>
    </w:rPr>
  </w:style>
  <w:style w:type="character" w:customStyle="1" w:styleId="OtherTok">
    <w:name w:val="OtherTok"/>
    <w:basedOn w:val="VerbatimChar"/>
    <w:rPr>
      <w:color w:val="007020"/>
      <w:kern w:val="2"/>
    </w:rPr>
  </w:style>
  <w:style w:type="character" w:customStyle="1" w:styleId="FunctionTok">
    <w:name w:val="FunctionTok"/>
    <w:basedOn w:val="VerbatimChar"/>
    <w:rPr>
      <w:color w:val="06287e"/>
      <w:kern w:val="2"/>
    </w:rPr>
  </w:style>
  <w:style w:type="character" w:customStyle="1" w:styleId="VariableTok">
    <w:name w:val="VariableTok"/>
    <w:basedOn w:val="VerbatimChar"/>
    <w:rPr>
      <w:color w:val="19177c"/>
      <w:kern w:val="2"/>
    </w:rPr>
  </w:style>
  <w:style w:type="character" w:customStyle="1" w:styleId="ControlFlowTok">
    <w:name w:val="ControlFlowTok"/>
    <w:basedOn w:val="VerbatimChar"/>
    <w:rPr>
      <w:color w:val="007020"/>
      <w:b/>
      <w:kern w:val="2"/>
    </w:rPr>
  </w:style>
  <w:style w:type="character" w:customStyle="1" w:styleId="OperatorTok">
    <w:name w:val="OperatorTok"/>
    <w:basedOn w:val="VerbatimChar"/>
    <w:rPr>
      <w:color w:val="666666"/>
      <w:kern w:val="2"/>
    </w:rPr>
  </w:style>
  <w:style w:type="character" w:customStyle="1" w:styleId="BuiltInTok">
    <w:name w:val="BuiltInTok"/>
    <w:basedOn w:val="VerbatimChar"/>
    <w:rPr>
      <w:color w:val="008000"/>
      <w:kern w:val="2"/>
    </w:rPr>
  </w:style>
  <w:style w:type="character" w:customStyle="1" w:styleId="ExtensionTok">
    <w:name w:val="ExtensionTok"/>
    <w:basedOn w:val="VerbatimChar"/>
    <w:rPr>
      <w:kern w:val="2"/>
    </w:rPr>
  </w:style>
  <w:style w:type="character" w:customStyle="1" w:styleId="PreprocessorTok">
    <w:name w:val="PreprocessorTok"/>
    <w:basedOn w:val="VerbatimChar"/>
    <w:rPr>
      <w:color w:val="bc7a00"/>
      <w:kern w:val="2"/>
    </w:rPr>
  </w:style>
  <w:style w:type="character" w:customStyle="1" w:styleId="AttributeTok">
    <w:name w:val="AttributeTok"/>
    <w:basedOn w:val="VerbatimChar"/>
    <w:rPr>
      <w:color w:val="7d9029"/>
      <w:kern w:val="2"/>
    </w:rPr>
  </w:style>
  <w:style w:type="character" w:customStyle="1" w:styleId="RegionMarkerTok">
    <w:name w:val="RegionMarkerTok"/>
    <w:basedOn w:val="VerbatimChar"/>
    <w:rPr>
      <w:kern w:val="2"/>
    </w:rPr>
  </w:style>
  <w:style w:type="character" w:customStyle="1" w:styleId="InformationTok">
    <w:name w:val="InformationTok"/>
    <w:basedOn w:val="VerbatimChar"/>
    <w:rPr>
      <w:color w:val="60a0b0"/>
      <w:b/>
      <w:i/>
      <w:kern w:val="2"/>
    </w:rPr>
  </w:style>
  <w:style w:type="character" w:customStyle="1" w:styleId="WarningTok">
    <w:name w:val="WarningTok"/>
    <w:basedOn w:val="VerbatimChar"/>
    <w:rPr>
      <w:color w:val="60a0b0"/>
      <w:b/>
      <w:i/>
      <w:kern w:val="2"/>
    </w:rPr>
  </w:style>
  <w:style w:type="character" w:customStyle="1" w:styleId="AlertTok">
    <w:name w:val="AlertTok"/>
    <w:basedOn w:val="VerbatimChar"/>
    <w:rPr>
      <w:color w:val="ff0000"/>
      <w:b/>
      <w:kern w:val="2"/>
    </w:rPr>
  </w:style>
  <w:style w:type="character" w:customStyle="1" w:styleId="ErrorTok">
    <w:name w:val="ErrorTok"/>
    <w:basedOn w:val="VerbatimChar"/>
    <w:rPr>
      <w:color w:val="ff0000"/>
      <w:b/>
      <w:kern w:val="2"/>
    </w:rPr>
  </w:style>
  <w:style w:type="character" w:customStyle="1" w:styleId="NormalTok">
    <w:name w:val="NormalTok"/>
    <w:basedOn w:val="VerbatimChar"/>
    <w:rPr>
      <w:kern w:val="2"/>
    </w:rPr>
  </w:style>
  <w:style w:type="paragraph" w:customStyle="1" w:styleId="Equation">
    <w:name w:val="Equation"/>
    <w:pPr>
      <w:keepLines/>
      <w:spacing w:before="0" w:after="100" w:line="240" w:lineRule="auto"/>
      <w:jc w:val="center"/>
    </w:pPr>
    <w:rPr>
      <w:rFonts w:ascii="Times New Roman" w:hAnsi="Times New Roman" w:eastAsia="Times New Roman" w:cs="Times New Roman"/>
      <w:b w:val="0"/>
      <w:color w:val="000000"/>
      <w:kern w:val="2"/>
      <w:sz w:val="22"/>
    </w:rPr>
  </w:style>
  <w:style w:type="paragraph" w:customStyle="1" w:styleId="SpecimenHeader">
    <w:name w:val="Specimen Header"/>
    <w:pPr>
      <w:keepLines/>
      <w:spacing w:before="0" w:after="0" w:line="240" w:lineRule="auto"/>
    </w:pPr>
    <w:rPr>
      <w:rFonts w:ascii="Times New Roman" w:hAnsi="Times New Roman" w:eastAsia="Times New Roman" w:cs="Times New Roman"/>
      <w:b w:val="0"/>
      <w:color w:val="000000"/>
      <w:kern w:val="2"/>
      <w:sz w:val="20"/>
    </w:rPr>
  </w:style>
  <w:style w:type="paragraph" w:customStyle="1" w:styleId="SpecimenFooter">
    <w:name w:val="Specimen Footer"/>
    <w:pPr>
      <w:keepLines/>
      <w:spacing w:before="0" w:after="0" w:line="240" w:lineRule="auto"/>
    </w:pPr>
    <w:rPr>
      <w:rFonts w:ascii="Times New Roman" w:hAnsi="Times New Roman" w:eastAsia="Times New Roman" w:cs="Times New Roman"/>
      <w:b w:val="0"/>
      <w:color w:val="000000"/>
      <w:kern w:val="2"/>
      <w:sz w:val="1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mtp2otf math specimen</dc:title>
  <dc:creator/>
  <cp:keywords/>
  <dcterms:created xsi:type="dcterms:W3CDTF">2026-09-05T16:15:08Z</dcterms:created>
  <dcterms:modified xsi:type="dcterms:W3CDTF">2026-09-05T16:15:08Z</dcterms:modified>
  <dc:subject>MTPro2 Math Full</dc:subject>
  <cp:lastModifiedBy/>
  <dc:description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